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tabs>
          <w:tab w:leader="none" w:pos="9355" w:val="left"/>
        </w:tabs>
        <w:spacing w:after="168"/>
        <w:ind w:right="-1"/>
        <w:jc w:val="right"/>
        <w:rPr>
          <w:rFonts w:ascii="Times New Roman" w:hAnsi="Times New Roman"/>
          <w:i w:val="1"/>
          <w:sz w:val="28"/>
        </w:rPr>
      </w:pPr>
      <w:bookmarkStart w:id="1" w:name="_GoBack"/>
      <w:bookmarkEnd w:id="1"/>
      <w:r>
        <w:rPr>
          <w:rFonts w:ascii="Times New Roman" w:hAnsi="Times New Roman"/>
          <w:i w:val="1"/>
          <w:sz w:val="28"/>
        </w:rPr>
        <w:t>Типовая форма</w:t>
      </w: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СОГЛАШЕНИЕ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взаимодействии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Федеральной службы по труду и занятости и </w:t>
      </w:r>
      <w:r>
        <w:rPr>
          <w:rFonts w:ascii="Times New Roman" w:hAnsi="Times New Roman"/>
          <w:b w:val="1"/>
          <w:sz w:val="28"/>
        </w:rPr>
        <w:t>_________________________________________</w:t>
      </w:r>
    </w:p>
    <w:p w14:paraId="0A000000">
      <w:pPr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(наименование общероссийского объединения профсоюзов) 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Москва                                                 </w:t>
      </w:r>
      <w:r>
        <w:rPr>
          <w:rFonts w:ascii="Times New Roman" w:hAnsi="Times New Roman"/>
          <w:sz w:val="28"/>
        </w:rPr>
        <w:t xml:space="preserve">                        «___» ________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___ </w:t>
      </w:r>
      <w:r>
        <w:rPr>
          <w:rFonts w:ascii="Times New Roman" w:hAnsi="Times New Roman"/>
          <w:sz w:val="28"/>
        </w:rPr>
        <w:t xml:space="preserve">г.  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b w:val="1"/>
          <w:sz w:val="28"/>
        </w:rPr>
      </w:pPr>
    </w:p>
    <w:p w14:paraId="11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12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Федеральная служба по труду и занятости, именуемая в дальнейшем </w:t>
      </w:r>
      <w:r>
        <w:rPr>
          <w:rFonts w:ascii="Times New Roman" w:hAnsi="Times New Roman"/>
          <w:sz w:val="28"/>
        </w:rPr>
        <w:t>Рострудом</w:t>
      </w:r>
      <w:r>
        <w:rPr>
          <w:rFonts w:ascii="Times New Roman" w:hAnsi="Times New Roman"/>
          <w:sz w:val="28"/>
        </w:rPr>
        <w:t xml:space="preserve">, в лице руководителя Иванкова Михаила Юрьевича, действующего на основании Положения о Федеральной службе по труду и занятости, утверждённого постановлением Правительства Российской Федерации от 30 июня 2004 года № 324, с одной стороны, и </w:t>
      </w: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 xml:space="preserve">, </w:t>
      </w:r>
    </w:p>
    <w:p w14:paraId="13000000">
      <w:pPr>
        <w:spacing w:line="360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общероссийского объединения профсоюзов)</w:t>
      </w:r>
    </w:p>
    <w:p w14:paraId="14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именуемый</w:t>
      </w:r>
      <w:r>
        <w:rPr>
          <w:rFonts w:ascii="Times New Roman" w:hAnsi="Times New Roman"/>
          <w:sz w:val="28"/>
        </w:rPr>
        <w:t xml:space="preserve"> в дальнейшем Профсоюзом, </w:t>
      </w:r>
      <w:r>
        <w:rPr>
          <w:rFonts w:ascii="Times New Roman" w:hAnsi="Times New Roman"/>
          <w:sz w:val="28"/>
        </w:rPr>
        <w:t xml:space="preserve">в лице 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действующего на основании 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, именуемые вместе в дальнейшем Сторонами, в соответствии с Трудовым кодексом Российской Федера</w:t>
      </w:r>
      <w:r>
        <w:rPr>
          <w:rFonts w:ascii="Times New Roman" w:hAnsi="Times New Roman"/>
          <w:sz w:val="28"/>
        </w:rPr>
        <w:t xml:space="preserve">ции и Федеральным законом от </w:t>
      </w:r>
      <w:r>
        <w:rPr>
          <w:rFonts w:ascii="Times New Roman" w:hAnsi="Times New Roman"/>
          <w:sz w:val="28"/>
        </w:rPr>
        <w:t>12 января 1996 г. № 10-ФЗ «О профессиональных союзах, их правах и гарантиях деятельности», заключили настоящее Соглашение о нижеследующем.</w:t>
      </w:r>
    </w:p>
    <w:p w14:paraId="15000000">
      <w:pPr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</w:p>
    <w:p w14:paraId="17000000">
      <w:pPr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18000000">
      <w:pPr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Предмет Соглашения</w:t>
      </w:r>
    </w:p>
    <w:p w14:paraId="19000000">
      <w:pPr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</w:p>
    <w:p w14:paraId="1A000000">
      <w:pPr>
        <w:pStyle w:val="Style_3"/>
        <w:numPr>
          <w:ilvl w:val="0"/>
          <w:numId w:val="1"/>
        </w:numPr>
        <w:spacing w:line="360" w:lineRule="auto"/>
        <w:ind w:firstLine="79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настоящего Соглашения является взаимодействие Сторон в сфере обеспечения соблюдения и защиты трудовых прав</w:t>
      </w:r>
      <w:r>
        <w:rPr>
          <w:rFonts w:ascii="Times New Roman" w:hAnsi="Times New Roman"/>
          <w:sz w:val="28"/>
        </w:rPr>
        <w:t xml:space="preserve"> и свобод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>, включая право на безопасные условия труда,</w:t>
      </w:r>
      <w:r>
        <w:rPr>
          <w:rFonts w:ascii="Times New Roman" w:hAnsi="Times New Roman"/>
          <w:sz w:val="28"/>
        </w:rPr>
        <w:t xml:space="preserve"> путём выявления, устранения и предупреждения их нарушений при использовании имеющихся у Сторон информационных, правовых и организационных ресурсов.  </w:t>
      </w:r>
    </w:p>
    <w:p w14:paraId="1B000000">
      <w:pPr>
        <w:pStyle w:val="Style_4"/>
        <w:spacing w:line="360" w:lineRule="auto"/>
        <w:ind w:firstLine="851" w:left="0"/>
        <w:jc w:val="both"/>
      </w:pPr>
    </w:p>
    <w:p w14:paraId="1C000000">
      <w:pPr>
        <w:spacing w:line="360" w:lineRule="auto"/>
        <w:ind w:firstLine="142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</w:p>
    <w:p w14:paraId="1D000000">
      <w:pPr>
        <w:spacing w:line="360" w:lineRule="auto"/>
        <w:ind w:firstLine="142" w:left="0"/>
        <w:jc w:val="center"/>
        <w:rPr>
          <w:rFonts w:ascii="Times New Roman" w:hAnsi="Times New Roman"/>
          <w:sz w:val="28"/>
        </w:rPr>
      </w:pPr>
    </w:p>
    <w:p w14:paraId="1E000000">
      <w:pPr>
        <w:spacing w:line="360" w:lineRule="auto"/>
        <w:ind w:firstLine="142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взаимодействия</w:t>
      </w:r>
      <w:r>
        <w:rPr>
          <w:rFonts w:ascii="Times New Roman" w:hAnsi="Times New Roman"/>
          <w:sz w:val="28"/>
        </w:rPr>
        <w:t xml:space="preserve"> Сторон</w:t>
      </w:r>
    </w:p>
    <w:p w14:paraId="1F000000">
      <w:pPr>
        <w:widowControl w:val="1"/>
        <w:spacing w:line="360" w:lineRule="auto"/>
        <w:ind w:firstLine="540" w:left="0"/>
        <w:jc w:val="both"/>
        <w:rPr>
          <w:rFonts w:ascii="Times New Roman" w:hAnsi="Times New Roman"/>
          <w:b w:val="1"/>
          <w:color w:val="000000"/>
          <w:sz w:val="26"/>
        </w:rPr>
      </w:pPr>
    </w:p>
    <w:p w14:paraId="20000000">
      <w:pPr>
        <w:pStyle w:val="Style_4"/>
        <w:tabs>
          <w:tab w:leader="none" w:pos="1134" w:val="left"/>
        </w:tabs>
        <w:spacing w:line="360" w:lineRule="auto"/>
        <w:ind w:firstLine="851" w:left="0"/>
        <w:jc w:val="both"/>
      </w:pPr>
      <w:r>
        <w:t>2. Приоритетными направлениями при взаимодействии Сторон являются:</w:t>
      </w:r>
    </w:p>
    <w:p w14:paraId="21000000">
      <w:pPr>
        <w:pStyle w:val="Style_4"/>
        <w:tabs>
          <w:tab w:leader="none" w:pos="1134" w:val="left"/>
        </w:tabs>
        <w:spacing w:line="360" w:lineRule="auto"/>
        <w:ind w:firstLine="851" w:left="0"/>
        <w:jc w:val="both"/>
      </w:pPr>
      <w:r>
        <w:t>выявление, устранение и предупреждение нарушений трудового законодательства и иных нормативных правовых актов, содержащих нормы трудового права;</w:t>
      </w:r>
    </w:p>
    <w:p w14:paraId="22000000">
      <w:pPr>
        <w:pStyle w:val="Style_4"/>
        <w:tabs>
          <w:tab w:leader="none" w:pos="1134" w:val="left"/>
        </w:tabs>
        <w:spacing w:line="360" w:lineRule="auto"/>
        <w:ind w:firstLine="851" w:left="0"/>
        <w:jc w:val="both"/>
      </w:pPr>
      <w:r>
        <w:t>анализ обстоятельств и причин выявленных нарушений трудового законодательства и иных нормативных правовых актов, содержащих нормы трудового права;</w:t>
      </w:r>
    </w:p>
    <w:p w14:paraId="23000000">
      <w:pPr>
        <w:pStyle w:val="Style_4"/>
        <w:tabs>
          <w:tab w:leader="none" w:pos="1134" w:val="left"/>
        </w:tabs>
        <w:spacing w:line="360" w:lineRule="auto"/>
        <w:ind w:firstLine="851" w:left="0"/>
        <w:jc w:val="both"/>
      </w:pPr>
      <w:r>
        <w:t>обобщение практики применения, анализ причин нарушений трудового законодательства и иных нормативных правовых актов, содержащих нормы трудового права, подготовка соответствующих предложений по их совершенствованию;</w:t>
      </w:r>
    </w:p>
    <w:p w14:paraId="24000000">
      <w:pPr>
        <w:pStyle w:val="Style_4"/>
        <w:spacing w:line="360" w:lineRule="auto"/>
        <w:ind w:firstLine="851" w:left="0"/>
        <w:jc w:val="both"/>
      </w:pPr>
      <w:r>
        <w:t>анализ состояния и причин производственного травматизма и разработка предложений по его профилактике;</w:t>
      </w:r>
    </w:p>
    <w:p w14:paraId="25000000">
      <w:pPr>
        <w:pStyle w:val="Style_4"/>
        <w:spacing w:line="360" w:lineRule="auto"/>
        <w:ind w:firstLine="851" w:left="0"/>
        <w:jc w:val="both"/>
      </w:pPr>
      <w:r>
        <w:t>участие в расследовании несчастных случаев на производстве;</w:t>
      </w:r>
    </w:p>
    <w:p w14:paraId="26000000">
      <w:pPr>
        <w:pStyle w:val="Style_4"/>
        <w:spacing w:line="360" w:lineRule="auto"/>
        <w:ind w:firstLine="851" w:left="0"/>
        <w:jc w:val="both"/>
      </w:pPr>
      <w:r>
        <w:t>ведение разъяснительной р</w:t>
      </w:r>
      <w:r>
        <w:t>аботы о трудовых правах граждан</w:t>
      </w:r>
      <w:r>
        <w:t>.</w:t>
      </w:r>
    </w:p>
    <w:p w14:paraId="27000000">
      <w:pPr>
        <w:pStyle w:val="Style_4"/>
        <w:spacing w:line="360" w:lineRule="auto"/>
        <w:ind w:firstLine="851" w:left="0"/>
        <w:jc w:val="both"/>
      </w:pPr>
      <w:r>
        <w:t xml:space="preserve">3. Стороны в пределах своей компетенции и в рамках действующего законодательства осуществляют </w:t>
      </w:r>
      <w:r>
        <w:t>взаимодействие</w:t>
      </w:r>
      <w:r>
        <w:t xml:space="preserve"> в следующих формах:</w:t>
      </w:r>
    </w:p>
    <w:p w14:paraId="28000000">
      <w:pPr>
        <w:pStyle w:val="Style_4"/>
        <w:spacing w:line="360" w:lineRule="auto"/>
        <w:ind w:firstLine="851" w:left="0"/>
        <w:jc w:val="both"/>
      </w:pPr>
      <w:r>
        <w:t xml:space="preserve">проведение </w:t>
      </w:r>
      <w:r>
        <w:t xml:space="preserve">федеральной инспекцией труда </w:t>
      </w:r>
      <w:r>
        <w:t xml:space="preserve">внеплановых проверок </w:t>
      </w:r>
      <w:r>
        <w:t xml:space="preserve">на основании </w:t>
      </w:r>
      <w:r>
        <w:t xml:space="preserve">обращений и заявлений </w:t>
      </w:r>
      <w:r>
        <w:t xml:space="preserve">профессиональных союзов </w:t>
      </w:r>
      <w:r>
        <w:t xml:space="preserve">о фактах нарушений работодателями требований трудового законодательства и иных нормативных правовых актов, содержащих нормы трудового права, в том </w:t>
      </w:r>
      <w:r>
        <w:t>числе требований охраны труда, повлекших возникновение угрозы причинения вр</w:t>
      </w:r>
      <w:r>
        <w:t>еда жизни и здоровью работников, в соответствии с ратифицированными Российской Федерацией конвенциями Международной организации труда по вопросам инспекции труда, Трудовым кодексом</w:t>
      </w:r>
      <w:r>
        <w:t xml:space="preserve"> Российской Федерации, иными федеральными законами, а также решениями Правительства Российской Федерации;</w:t>
      </w:r>
    </w:p>
    <w:p w14:paraId="29000000">
      <w:pPr>
        <w:pStyle w:val="Style_4"/>
        <w:spacing w:line="360" w:lineRule="auto"/>
        <w:ind w:firstLine="851" w:left="0"/>
        <w:jc w:val="both"/>
      </w:pPr>
      <w:r>
        <w:t xml:space="preserve">в соответствии с требованиями законодательства Российской Федерации обмен представляющей взаимный интерес информацией о фактах, связанных с </w:t>
      </w:r>
      <w:r>
        <w:t>нарушениями трудового законодательства и иных нормативных правовых актов, содержащих нормы трудового права;</w:t>
      </w:r>
    </w:p>
    <w:p w14:paraId="2A000000">
      <w:pPr>
        <w:pStyle w:val="Style_4"/>
        <w:tabs>
          <w:tab w:leader="none" w:pos="1134" w:val="left"/>
        </w:tabs>
        <w:spacing w:line="360" w:lineRule="auto"/>
        <w:ind w:firstLine="851" w:left="0"/>
        <w:jc w:val="both"/>
      </w:pPr>
      <w:r>
        <w:t xml:space="preserve">обмен методическими материалами и рекомендациями по вопросам, связанным с </w:t>
      </w:r>
      <w:r>
        <w:t>соблюдением трудового законодательства и иных нормативных правовых актов, содержащих нормы трудового права</w:t>
      </w:r>
      <w:r>
        <w:t>;</w:t>
      </w:r>
    </w:p>
    <w:p w14:paraId="2B000000">
      <w:pPr>
        <w:pStyle w:val="Style_5"/>
        <w:spacing w:line="360" w:lineRule="auto"/>
        <w:ind w:firstLine="851" w:left="0"/>
        <w:rPr>
          <w:sz w:val="28"/>
        </w:rPr>
      </w:pPr>
      <w:r>
        <w:rPr>
          <w:sz w:val="28"/>
        </w:rPr>
        <w:t xml:space="preserve">консолидированное </w:t>
      </w:r>
      <w:r>
        <w:rPr>
          <w:sz w:val="28"/>
        </w:rPr>
        <w:t xml:space="preserve">освещение в средствах массовой информации </w:t>
      </w:r>
      <w:r>
        <w:rPr>
          <w:sz w:val="28"/>
        </w:rPr>
        <w:t xml:space="preserve">о </w:t>
      </w:r>
      <w:r>
        <w:rPr>
          <w:sz w:val="28"/>
        </w:rPr>
        <w:t>деятельности Сторон по основным направлениям сотрудничества</w:t>
      </w:r>
      <w:r>
        <w:rPr>
          <w:sz w:val="28"/>
        </w:rPr>
        <w:t>;</w:t>
      </w:r>
    </w:p>
    <w:p w14:paraId="2C000000">
      <w:pPr>
        <w:pStyle w:val="Style_5"/>
        <w:spacing w:line="360" w:lineRule="auto"/>
        <w:ind w:firstLine="851" w:left="0"/>
        <w:rPr>
          <w:sz w:val="28"/>
        </w:rPr>
      </w:pPr>
      <w:r>
        <w:rPr>
          <w:sz w:val="28"/>
        </w:rPr>
        <w:t>участие в Совете по отраслевым (межотраслевым) соглашениям, заключённым на федеральном уровне социального партн</w:t>
      </w:r>
      <w:r>
        <w:rPr>
          <w:sz w:val="28"/>
        </w:rPr>
        <w:t>ё</w:t>
      </w:r>
      <w:r>
        <w:rPr>
          <w:sz w:val="28"/>
        </w:rPr>
        <w:t>рства</w:t>
      </w:r>
      <w:r>
        <w:rPr>
          <w:sz w:val="28"/>
        </w:rPr>
        <w:t>.</w:t>
      </w:r>
    </w:p>
    <w:p w14:paraId="2D000000">
      <w:pPr>
        <w:pStyle w:val="Style_4"/>
        <w:spacing w:line="360" w:lineRule="auto"/>
        <w:ind w:firstLine="851" w:left="0"/>
        <w:jc w:val="both"/>
      </w:pPr>
      <w:r>
        <w:t>4. Соглашение не препятствует Сторонам в определении и развитии иных взаимоприемлемых форм сотрудничества.</w:t>
      </w:r>
    </w:p>
    <w:p w14:paraId="2E000000">
      <w:pPr>
        <w:pStyle w:val="Style_4"/>
        <w:spacing w:line="360" w:lineRule="auto"/>
        <w:ind w:firstLine="851" w:left="0"/>
        <w:jc w:val="both"/>
      </w:pPr>
      <w:r>
        <w:t>5. Стороны определяют лиц, ответственных за информационный обмен и координацию взаимодействия по реализации положений Соглашения.</w:t>
      </w:r>
    </w:p>
    <w:p w14:paraId="2F000000">
      <w:pPr>
        <w:pStyle w:val="Style_4"/>
        <w:spacing w:line="360" w:lineRule="auto"/>
        <w:ind w:firstLine="851" w:left="0"/>
        <w:jc w:val="both"/>
      </w:pPr>
    </w:p>
    <w:p w14:paraId="30000000">
      <w:pPr>
        <w:pStyle w:val="Style_4"/>
        <w:spacing w:line="360" w:lineRule="auto"/>
        <w:ind/>
        <w:jc w:val="center"/>
      </w:pPr>
      <w:r>
        <w:t>Статья 3</w:t>
      </w:r>
    </w:p>
    <w:p w14:paraId="31000000">
      <w:pPr>
        <w:pStyle w:val="Style_4"/>
        <w:spacing w:line="360" w:lineRule="auto"/>
        <w:ind w:firstLine="851" w:left="0"/>
        <w:jc w:val="both"/>
      </w:pPr>
    </w:p>
    <w:p w14:paraId="32000000">
      <w:pPr>
        <w:pStyle w:val="Style_4"/>
        <w:spacing w:line="360" w:lineRule="auto"/>
        <w:ind/>
        <w:jc w:val="center"/>
      </w:pPr>
      <w:r>
        <w:t>Прочие условия</w:t>
      </w:r>
    </w:p>
    <w:p w14:paraId="33000000">
      <w:pPr>
        <w:widowControl w:val="1"/>
        <w:spacing w:line="360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</w:p>
    <w:p w14:paraId="34000000">
      <w:pPr>
        <w:tabs>
          <w:tab w:leader="none" w:pos="1134" w:val="left"/>
        </w:tabs>
        <w:spacing w:line="360" w:lineRule="auto"/>
        <w:ind w:firstLine="851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В целях повышения эффективности федерального государственного надзора, а также профсоюзного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соблюдением трудового законодательства и иных нормативных правовых актов, содержащих нормы </w:t>
      </w:r>
      <w:r>
        <w:rPr>
          <w:rFonts w:ascii="Times New Roman" w:hAnsi="Times New Roman"/>
          <w:sz w:val="28"/>
        </w:rPr>
        <w:t>трудового права, Стороны договорились:</w:t>
      </w:r>
    </w:p>
    <w:p w14:paraId="35000000">
      <w:pPr>
        <w:spacing w:line="360" w:lineRule="auto"/>
        <w:ind w:firstLine="851" w:left="0" w:right="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роводить, при необходимости, взаимные консультации по вопросам регулирования коллективных трудовых споров и содействия снижению социальной напряж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нности</w:t>
      </w:r>
      <w:r>
        <w:rPr>
          <w:rFonts w:ascii="Times New Roman" w:hAnsi="Times New Roman"/>
          <w:sz w:val="28"/>
        </w:rPr>
        <w:t>;</w:t>
      </w:r>
    </w:p>
    <w:p w14:paraId="36000000">
      <w:pPr>
        <w:spacing w:line="360" w:lineRule="auto"/>
        <w:ind w:firstLine="851" w:left="0" w:right="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проведении одной из Сторон семинаров, совещаний и иных мероприятий, направленных на решение вопросов соблюдения трудового законодательства и иных нормативных правовых актов, содержащих нормы трудового права, информировать другую Сторону о проводимых мероприятиях </w:t>
      </w:r>
      <w:r>
        <w:rPr>
          <w:rFonts w:ascii="Times New Roman" w:hAnsi="Times New Roman"/>
          <w:sz w:val="28"/>
        </w:rPr>
        <w:t>и прин</w:t>
      </w:r>
      <w:r>
        <w:rPr>
          <w:rFonts w:ascii="Times New Roman" w:hAnsi="Times New Roman"/>
          <w:sz w:val="28"/>
        </w:rPr>
        <w:t>ятых на них решениях.</w:t>
      </w:r>
    </w:p>
    <w:p w14:paraId="37000000">
      <w:pPr>
        <w:spacing w:line="360" w:lineRule="auto"/>
        <w:ind w:firstLine="851" w:left="0" w:right="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целях взаимодействия Стороны могут формировать совместные временные или постоянные рабочие группы, обеспечивая на взаимной основе участие своих работников в мероприятиях, проводимых Сторонами.</w:t>
      </w:r>
    </w:p>
    <w:p w14:paraId="38000000">
      <w:pPr>
        <w:pStyle w:val="Style_4"/>
        <w:spacing w:line="360" w:lineRule="auto"/>
        <w:ind w:firstLine="540" w:left="0"/>
        <w:jc w:val="both"/>
      </w:pPr>
    </w:p>
    <w:p w14:paraId="39000000">
      <w:pPr>
        <w:pStyle w:val="Style_4"/>
        <w:spacing w:line="360" w:lineRule="auto"/>
        <w:ind/>
        <w:jc w:val="center"/>
      </w:pPr>
      <w:r>
        <w:t>Статья 4</w:t>
      </w:r>
    </w:p>
    <w:p w14:paraId="3A000000">
      <w:pPr>
        <w:pStyle w:val="Style_4"/>
        <w:spacing w:line="360" w:lineRule="auto"/>
        <w:ind/>
        <w:jc w:val="center"/>
      </w:pPr>
    </w:p>
    <w:p w14:paraId="3B000000">
      <w:pPr>
        <w:pStyle w:val="Style_4"/>
        <w:spacing w:line="360" w:lineRule="auto"/>
        <w:ind/>
        <w:jc w:val="center"/>
      </w:pPr>
      <w:r>
        <w:t>Вступление в силу и прекращение действия Соглашения</w:t>
      </w:r>
    </w:p>
    <w:p w14:paraId="3C000000">
      <w:pPr>
        <w:pStyle w:val="Style_4"/>
        <w:spacing w:line="360" w:lineRule="auto"/>
        <w:ind w:firstLine="540" w:left="0"/>
        <w:jc w:val="center"/>
      </w:pPr>
    </w:p>
    <w:p w14:paraId="3D000000">
      <w:pPr>
        <w:pStyle w:val="Style_4"/>
        <w:spacing w:line="360" w:lineRule="auto"/>
        <w:ind w:firstLine="851" w:left="0"/>
        <w:jc w:val="both"/>
      </w:pPr>
      <w:r>
        <w:t>8. Настоящее Соглашение вступает в силу со дня его подписания обеими Сторонами и действует до «___»___________ 20__года.</w:t>
      </w:r>
    </w:p>
    <w:p w14:paraId="3E000000">
      <w:pPr>
        <w:pStyle w:val="Style_4"/>
        <w:spacing w:line="360" w:lineRule="auto"/>
        <w:ind w:firstLine="851" w:left="0"/>
        <w:jc w:val="both"/>
      </w:pPr>
      <w:r>
        <w:t>9. Действие настоящего Соглашения может быть досрочно прекращено любой из Сторон путём письменного уведомления другой Стороны не менее чем за месяц до истечения срока его действия.</w:t>
      </w:r>
    </w:p>
    <w:p w14:paraId="3F000000">
      <w:pPr>
        <w:pStyle w:val="Style_4"/>
        <w:spacing w:line="360" w:lineRule="auto"/>
        <w:ind w:firstLine="851" w:left="0"/>
        <w:jc w:val="both"/>
      </w:pPr>
      <w:r>
        <w:t>10. Настоящее С</w:t>
      </w:r>
      <w:r>
        <w:t xml:space="preserve">оглашение </w:t>
      </w:r>
      <w:r>
        <w:t>продлева</w:t>
      </w:r>
      <w:r>
        <w:t xml:space="preserve">ется на каждый </w:t>
      </w:r>
      <w:r>
        <w:t>последующий календарный год</w:t>
      </w:r>
      <w:r>
        <w:t xml:space="preserve"> в случае, если ни одна из Сторон до </w:t>
      </w:r>
      <w:r>
        <w:t xml:space="preserve">истечения срока его действия </w:t>
      </w:r>
      <w:r>
        <w:t xml:space="preserve">не </w:t>
      </w:r>
      <w:r>
        <w:t>заявит об отказе от продления срока действия Соглашения.</w:t>
      </w:r>
    </w:p>
    <w:p w14:paraId="40000000">
      <w:pPr>
        <w:pStyle w:val="Style_4"/>
        <w:spacing w:line="360" w:lineRule="auto"/>
        <w:ind w:firstLine="851" w:left="0"/>
        <w:jc w:val="both"/>
      </w:pPr>
      <w:r>
        <w:t>11</w:t>
      </w:r>
      <w:r>
        <w:t xml:space="preserve">. </w:t>
      </w:r>
      <w:r>
        <w:t xml:space="preserve">Каждая из Сторон может досрочно прекратить действие настоящего Соглашения, письменно уведомив об этом другую Сторону. Действие настоящего Соглашения прекращается по истечении </w:t>
      </w:r>
      <w:r>
        <w:t>двух</w:t>
      </w:r>
      <w:r>
        <w:t xml:space="preserve"> месяцев с</w:t>
      </w:r>
      <w:r>
        <w:t>о дня</w:t>
      </w:r>
      <w:r>
        <w:t xml:space="preserve"> получения письменного уведомления другой Стороны.</w:t>
      </w:r>
    </w:p>
    <w:p w14:paraId="41000000">
      <w:pPr>
        <w:pStyle w:val="Style_4"/>
        <w:spacing w:line="360" w:lineRule="auto"/>
        <w:ind w:firstLine="540" w:left="0"/>
        <w:jc w:val="both"/>
      </w:pPr>
    </w:p>
    <w:p w14:paraId="42000000">
      <w:pPr>
        <w:pStyle w:val="Style_4"/>
        <w:spacing w:line="360" w:lineRule="auto"/>
        <w:ind/>
        <w:jc w:val="center"/>
        <w:outlineLvl w:val="0"/>
      </w:pPr>
      <w:r>
        <w:t xml:space="preserve">Статья </w:t>
      </w:r>
      <w:r>
        <w:t>5</w:t>
      </w:r>
    </w:p>
    <w:p w14:paraId="43000000">
      <w:pPr>
        <w:pStyle w:val="Style_4"/>
        <w:spacing w:line="360" w:lineRule="auto"/>
        <w:ind/>
        <w:jc w:val="center"/>
        <w:outlineLvl w:val="0"/>
      </w:pPr>
    </w:p>
    <w:p w14:paraId="44000000">
      <w:pPr>
        <w:pStyle w:val="Style_4"/>
        <w:spacing w:line="360" w:lineRule="auto"/>
        <w:ind/>
        <w:jc w:val="center"/>
        <w:outlineLvl w:val="0"/>
      </w:pPr>
      <w:r>
        <w:t>Внесение изменений и дополнений в Соглашение</w:t>
      </w:r>
    </w:p>
    <w:p w14:paraId="45000000">
      <w:pPr>
        <w:pStyle w:val="Style_4"/>
        <w:spacing w:line="360" w:lineRule="auto"/>
        <w:ind w:firstLine="540" w:left="0"/>
        <w:jc w:val="both"/>
      </w:pPr>
    </w:p>
    <w:p w14:paraId="46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>По согласованию Сторон в настоящее Соглашение могут быть внесены изменения и дополнения, которые оформляются дополнительными Соглашениями, являющимися  неотъемлемой частью настоящего Соглашения.</w:t>
      </w:r>
    </w:p>
    <w:p w14:paraId="47000000">
      <w:pPr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6</w:t>
      </w:r>
    </w:p>
    <w:p w14:paraId="48000000">
      <w:pPr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49000000">
      <w:pPr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Заключительные положения</w:t>
      </w:r>
    </w:p>
    <w:p w14:paraId="4A000000">
      <w:pPr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B000000">
      <w:pPr>
        <w:pStyle w:val="Style_5"/>
        <w:tabs>
          <w:tab w:leader="none" w:pos="560" w:val="left"/>
          <w:tab w:leader="none" w:pos="1835" w:val="left"/>
        </w:tabs>
        <w:spacing w:line="360" w:lineRule="auto"/>
        <w:ind w:firstLine="851" w:left="0"/>
        <w:rPr>
          <w:sz w:val="28"/>
        </w:rPr>
      </w:pPr>
      <w:r>
        <w:rPr>
          <w:sz w:val="28"/>
        </w:rPr>
        <w:t xml:space="preserve">13. </w:t>
      </w:r>
      <w:r>
        <w:rPr>
          <w:sz w:val="28"/>
        </w:rPr>
        <w:t>Настоящее соглашение не налагает на Стороны никаких финансовых и юридических обязательств.</w:t>
      </w:r>
    </w:p>
    <w:p w14:paraId="4C000000">
      <w:pPr>
        <w:pStyle w:val="Style_5"/>
        <w:tabs>
          <w:tab w:leader="none" w:pos="560" w:val="left"/>
          <w:tab w:leader="none" w:pos="1835" w:val="left"/>
        </w:tabs>
        <w:spacing w:line="360" w:lineRule="auto"/>
        <w:ind w:firstLine="851" w:left="0"/>
        <w:rPr>
          <w:sz w:val="28"/>
        </w:rPr>
      </w:pPr>
      <w:r>
        <w:rPr>
          <w:sz w:val="28"/>
        </w:rPr>
        <w:t xml:space="preserve">14. </w:t>
      </w:r>
      <w:r>
        <w:rPr>
          <w:sz w:val="28"/>
        </w:rPr>
        <w:t>Стороны обязуются при исполнении настоящего Соглашения поддерживать  деловые контакты и принимать все необходимые меры для обеспечения эффективности и развития взаимодействия Сторон.</w:t>
      </w:r>
    </w:p>
    <w:p w14:paraId="4D000000">
      <w:pPr>
        <w:pStyle w:val="Style_5"/>
        <w:tabs>
          <w:tab w:leader="none" w:pos="560" w:val="left"/>
          <w:tab w:leader="none" w:pos="1835" w:val="left"/>
        </w:tabs>
        <w:spacing w:line="360" w:lineRule="auto"/>
        <w:ind w:firstLine="851" w:left="0"/>
        <w:rPr>
          <w:sz w:val="28"/>
        </w:rPr>
      </w:pPr>
      <w:r>
        <w:rPr>
          <w:sz w:val="28"/>
        </w:rPr>
        <w:t xml:space="preserve">15. </w:t>
      </w:r>
      <w:r>
        <w:rPr>
          <w:sz w:val="28"/>
        </w:rPr>
        <w:t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4E000000">
      <w:pPr>
        <w:pStyle w:val="Style_5"/>
        <w:tabs>
          <w:tab w:leader="none" w:pos="560" w:val="left"/>
          <w:tab w:leader="none" w:pos="1835" w:val="left"/>
        </w:tabs>
        <w:spacing w:line="360" w:lineRule="auto"/>
        <w:ind w:firstLine="851" w:left="0"/>
        <w:rPr>
          <w:sz w:val="28"/>
        </w:rPr>
      </w:pPr>
      <w:r>
        <w:rPr>
          <w:sz w:val="28"/>
        </w:rPr>
        <w:t xml:space="preserve">16. </w:t>
      </w:r>
      <w:r>
        <w:rPr>
          <w:sz w:val="28"/>
        </w:rPr>
        <w:t xml:space="preserve">Настоящее Соглашение составлено в двух экземплярах, имеющих </w:t>
      </w:r>
      <w:r>
        <w:rPr>
          <w:sz w:val="28"/>
        </w:rPr>
        <w:t>равную</w:t>
      </w:r>
      <w:r>
        <w:rPr>
          <w:sz w:val="28"/>
        </w:rPr>
        <w:t xml:space="preserve"> юридическую силу, по одному подлинному экземпляру для каждой из Сторон.</w:t>
      </w:r>
    </w:p>
    <w:p w14:paraId="4F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 xml:space="preserve">Настоящее Соглашение заключено «  »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 г. в двух экземплярах, имеющих равную юридическую силу.</w:t>
      </w:r>
    </w:p>
    <w:p w14:paraId="50000000">
      <w:pPr>
        <w:ind w:firstLine="567" w:left="0"/>
        <w:jc w:val="both"/>
        <w:rPr>
          <w:rFonts w:ascii="Times New Roman" w:hAnsi="Times New Roman"/>
          <w:sz w:val="28"/>
        </w:rPr>
      </w:pPr>
    </w:p>
    <w:p w14:paraId="51000000">
      <w:pPr>
        <w:ind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Ind w:type="dxa" w:w="24"/>
        <w:tblLayout w:type="fixed"/>
      </w:tblPr>
      <w:tblGrid>
        <w:gridCol w:w="4775"/>
        <w:gridCol w:w="4772"/>
      </w:tblGrid>
      <w:tr>
        <w:tc>
          <w:tcPr>
            <w:tcW w:type="dxa" w:w="4775"/>
          </w:tcPr>
          <w:p w14:paraId="52000000">
            <w:pPr>
              <w:tabs>
                <w:tab w:leader="none" w:pos="4826" w:val="left"/>
              </w:tabs>
              <w:ind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Федеральн</w:t>
            </w:r>
            <w:r>
              <w:rPr>
                <w:rFonts w:ascii="Times New Roman" w:hAnsi="Times New Roman"/>
                <w:spacing w:val="-3"/>
                <w:sz w:val="28"/>
              </w:rPr>
              <w:t>ая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служб</w:t>
            </w:r>
            <w:r>
              <w:rPr>
                <w:rFonts w:ascii="Times New Roman" w:hAnsi="Times New Roman"/>
                <w:spacing w:val="-3"/>
                <w:sz w:val="28"/>
              </w:rPr>
              <w:t>а</w:t>
            </w:r>
          </w:p>
          <w:p w14:paraId="53000000">
            <w:pPr>
              <w:tabs>
                <w:tab w:leader="none" w:pos="4826" w:val="left"/>
              </w:tabs>
              <w:ind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по труду и занятости</w:t>
            </w:r>
          </w:p>
        </w:tc>
        <w:tc>
          <w:tcPr>
            <w:tcW w:type="dxa" w:w="4772"/>
          </w:tcPr>
          <w:p w14:paraId="54000000">
            <w:pPr>
              <w:ind w:firstLine="0" w:left="1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Профсоюз</w:t>
            </w:r>
          </w:p>
          <w:p w14:paraId="55000000">
            <w:pPr>
              <w:rPr>
                <w:rFonts w:ascii="Times New Roman" w:hAnsi="Times New Roman"/>
                <w:sz w:val="28"/>
              </w:rPr>
            </w:pPr>
          </w:p>
          <w:p w14:paraId="56000000">
            <w:pPr>
              <w:rPr>
                <w:rFonts w:ascii="Times New Roman" w:hAnsi="Times New Roman"/>
                <w:spacing w:val="-3"/>
                <w:sz w:val="28"/>
              </w:rPr>
            </w:pPr>
          </w:p>
        </w:tc>
      </w:tr>
      <w:tr>
        <w:tc>
          <w:tcPr>
            <w:tcW w:type="dxa" w:w="4775"/>
          </w:tcPr>
          <w:p w14:paraId="57000000">
            <w:pPr>
              <w:tabs>
                <w:tab w:leader="none" w:pos="4826" w:val="left"/>
              </w:tabs>
              <w:ind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    М.П.</w:t>
            </w:r>
          </w:p>
        </w:tc>
        <w:tc>
          <w:tcPr>
            <w:tcW w:type="dxa" w:w="4772"/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М.П.</w:t>
            </w:r>
          </w:p>
        </w:tc>
      </w:tr>
    </w:tbl>
    <w:p w14:paraId="59000000"/>
    <w:p w14:paraId="5A000000"/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152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872"/>
      </w:pPr>
    </w:lvl>
    <w:lvl w:ilvl="2">
      <w:start w:val="1"/>
      <w:numFmt w:val="lowerRoman"/>
      <w:lvlText w:val="%3."/>
      <w:lvlJc w:val="right"/>
      <w:pPr>
        <w:ind w:hanging="180" w:left="2592"/>
      </w:pPr>
    </w:lvl>
    <w:lvl w:ilvl="3">
      <w:start w:val="1"/>
      <w:numFmt w:val="decimal"/>
      <w:lvlText w:val="%4."/>
      <w:lvlJc w:val="left"/>
      <w:pPr>
        <w:ind w:hanging="360" w:left="3312"/>
      </w:pPr>
    </w:lvl>
    <w:lvl w:ilvl="4">
      <w:start w:val="1"/>
      <w:numFmt w:val="lowerLetter"/>
      <w:lvlText w:val="%5."/>
      <w:lvlJc w:val="left"/>
      <w:pPr>
        <w:ind w:hanging="360" w:left="4032"/>
      </w:pPr>
    </w:lvl>
    <w:lvl w:ilvl="5">
      <w:start w:val="1"/>
      <w:numFmt w:val="lowerRoman"/>
      <w:lvlText w:val="%6."/>
      <w:lvlJc w:val="right"/>
      <w:pPr>
        <w:ind w:hanging="180" w:left="4752"/>
      </w:pPr>
    </w:lvl>
    <w:lvl w:ilvl="6">
      <w:start w:val="1"/>
      <w:numFmt w:val="decimal"/>
      <w:lvlText w:val="%7."/>
      <w:lvlJc w:val="left"/>
      <w:pPr>
        <w:ind w:hanging="360" w:left="5472"/>
      </w:pPr>
    </w:lvl>
    <w:lvl w:ilvl="7">
      <w:start w:val="1"/>
      <w:numFmt w:val="lowerLetter"/>
      <w:lvlText w:val="%8."/>
      <w:lvlJc w:val="left"/>
      <w:pPr>
        <w:ind w:hanging="360" w:left="6192"/>
      </w:pPr>
    </w:lvl>
    <w:lvl w:ilvl="8">
      <w:start w:val="1"/>
      <w:numFmt w:val="lowerRoman"/>
      <w:lvlText w:val="%9."/>
      <w:lvlJc w:val="right"/>
      <w:pPr>
        <w:ind w:hanging="180" w:left="691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7_ch" w:type="character">
    <w:name w:val="Normal"/>
    <w:link w:val="Style_7"/>
    <w:rPr>
      <w:rFonts w:ascii="Courier New" w:hAnsi="Courier New"/>
      <w:color w:val="000000"/>
      <w:sz w:val="24"/>
    </w:rPr>
  </w:style>
  <w:style w:styleId="Style_4" w:type="paragraph">
    <w:name w:val="ConsPlusNormal"/>
    <w:link w:val="Style_4_ch"/>
    <w:pPr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Normal"/>
    <w:link w:val="Style_14_ch"/>
    <w:pPr>
      <w:spacing w:after="0" w:line="240" w:lineRule="auto"/>
      <w:ind w:firstLine="720" w:left="0"/>
    </w:pPr>
    <w:rPr>
      <w:rFonts w:ascii="Consultant" w:hAnsi="Consultant"/>
      <w:sz w:val="20"/>
    </w:rPr>
  </w:style>
  <w:style w:styleId="Style_14_ch" w:type="character">
    <w:name w:val="ConsNormal"/>
    <w:link w:val="Style_14"/>
    <w:rPr>
      <w:rFonts w:ascii="Consultant" w:hAnsi="Consultant"/>
      <w:sz w:val="20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3" w:type="paragraph">
    <w:name w:val="List Paragraph"/>
    <w:basedOn w:val="Style_7"/>
    <w:link w:val="Style_3_ch"/>
    <w:pPr>
      <w:ind w:firstLine="0" w:left="720"/>
      <w:contextualSpacing w:val="1"/>
    </w:pPr>
  </w:style>
  <w:style w:styleId="Style_3_ch" w:type="character">
    <w:name w:val="List Paragraph"/>
    <w:basedOn w:val="Style_7_ch"/>
    <w:link w:val="Style_3"/>
  </w:style>
  <w:style w:styleId="Style_16" w:type="paragraph">
    <w:name w:val="footer"/>
    <w:basedOn w:val="Style_7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7_ch"/>
    <w:link w:val="Style_16"/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_ch" w:type="character">
    <w:name w:val="heading 1"/>
    <w:basedOn w:val="Style_7_ch"/>
    <w:link w:val="Style_2"/>
    <w:rPr>
      <w:rFonts w:ascii="Cambria" w:hAnsi="Cambria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5" w:type="paragraph">
    <w:name w:val="Body Text"/>
    <w:basedOn w:val="Style_7"/>
    <w:link w:val="Style_5_ch"/>
    <w:pPr>
      <w:widowControl w:val="1"/>
      <w:ind/>
      <w:jc w:val="both"/>
    </w:pPr>
    <w:rPr>
      <w:rFonts w:ascii="Times New Roman" w:hAnsi="Times New Roman"/>
      <w:color w:val="000000"/>
    </w:rPr>
  </w:style>
  <w:style w:styleId="Style_5_ch" w:type="character">
    <w:name w:val="Body Text"/>
    <w:basedOn w:val="Style_7_ch"/>
    <w:link w:val="Style_5"/>
    <w:rPr>
      <w:rFonts w:ascii="Times New Roman" w:hAnsi="Times New Roman"/>
      <w:color w:val="000000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7"/>
    <w:link w:val="Style_25_ch"/>
    <w:rPr>
      <w:rFonts w:ascii="Tahoma" w:hAnsi="Tahoma"/>
      <w:sz w:val="16"/>
    </w:rPr>
  </w:style>
  <w:style w:styleId="Style_25_ch" w:type="character">
    <w:name w:val="Balloon Text"/>
    <w:basedOn w:val="Style_7_ch"/>
    <w:link w:val="Style_25"/>
    <w:rPr>
      <w:rFonts w:ascii="Tahoma" w:hAnsi="Tahoma"/>
      <w:sz w:val="16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0" w:type="paragraph">
    <w:name w:val="heading 2"/>
    <w:next w:val="Style_7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2025-02-13T08:11:29Z</dcterms:modified>
</cp:coreProperties>
</file>